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BA4A" w14:textId="77777777" w:rsidR="00676EFA" w:rsidRPr="00EC4FCA" w:rsidRDefault="00676EFA" w:rsidP="00676EFA">
      <w:pPr>
        <w:pStyle w:val="Titel"/>
        <w:tabs>
          <w:tab w:val="right" w:pos="9639"/>
        </w:tabs>
        <w:spacing w:before="120"/>
        <w:rPr>
          <w:rFonts w:ascii="Arial" w:hAnsi="Arial"/>
          <w:sz w:val="28"/>
          <w:u w:val="single"/>
        </w:rPr>
      </w:pPr>
      <w:r w:rsidRPr="00EC4FCA">
        <w:rPr>
          <w:rFonts w:ascii="Arial" w:hAnsi="Arial"/>
          <w:sz w:val="28"/>
          <w:u w:val="single"/>
        </w:rPr>
        <w:t>N</w:t>
      </w:r>
      <w:r>
        <w:rPr>
          <w:rFonts w:ascii="Arial" w:hAnsi="Arial"/>
          <w:sz w:val="28"/>
          <w:u w:val="single"/>
        </w:rPr>
        <w:t>achwuchs-Ranglistenturnier: Ausschreibung</w:t>
      </w:r>
      <w:r>
        <w:rPr>
          <w:rFonts w:ascii="Arial" w:hAnsi="Arial"/>
          <w:sz w:val="28"/>
          <w:u w:val="single"/>
        </w:rPr>
        <w:tab/>
      </w:r>
    </w:p>
    <w:p w14:paraId="7E468F75" w14:textId="77777777" w:rsidR="00676EFA" w:rsidRDefault="00676EFA"/>
    <w:p w14:paraId="73FA6EF7" w14:textId="1580D724" w:rsidR="00676EFA" w:rsidRPr="00741375" w:rsidRDefault="00291B11" w:rsidP="00676EFA">
      <w:pPr>
        <w:pStyle w:val="Textkrper"/>
        <w:spacing w:before="0" w:after="0"/>
        <w:jc w:val="both"/>
      </w:pPr>
      <w:r>
        <w:t>In der kommenden Saison 2019/2020</w:t>
      </w:r>
      <w:r w:rsidR="00676EFA">
        <w:t xml:space="preserve"> wird das TTVI Na</w:t>
      </w:r>
      <w:r w:rsidR="007235A5">
        <w:t>chwuchs-Ranglistenturnier zum 2</w:t>
      </w:r>
      <w:r>
        <w:t>6</w:t>
      </w:r>
      <w:r w:rsidR="00676EFA">
        <w:t>. Mal durchgeführt. An vier Spieltagen wird</w:t>
      </w:r>
      <w:r w:rsidR="00040F2B">
        <w:t xml:space="preserve"> um Punkte gespielt.</w:t>
      </w:r>
      <w:r w:rsidR="00741375">
        <w:t xml:space="preserve"> </w:t>
      </w:r>
      <w:r w:rsidR="00040F2B">
        <w:t>D</w:t>
      </w:r>
      <w:r w:rsidR="008359FF">
        <w:t>as RLT wird</w:t>
      </w:r>
      <w:r w:rsidR="00040F2B" w:rsidRPr="00741375">
        <w:t xml:space="preserve"> </w:t>
      </w:r>
      <w:r w:rsidR="00040F2B" w:rsidRPr="0063189E">
        <w:t xml:space="preserve">altersklassenübergreifend in den Serien Mädchen und Knaben durchgeführt. </w:t>
      </w:r>
      <w:r w:rsidR="00676EFA">
        <w:t xml:space="preserve">Die vier Spieltage überschneiden sich nicht mit den Poule-Daten der Mannschaftsmeisterschaft. Es gelten die Ausführungsbestimmungen §270ff. </w:t>
      </w:r>
    </w:p>
    <w:p w14:paraId="697FF67C" w14:textId="77777777" w:rsidR="00676EFA" w:rsidRPr="00816B69" w:rsidRDefault="00676EFA">
      <w:pPr>
        <w:spacing w:before="240"/>
        <w:rPr>
          <w:b/>
          <w:bCs/>
          <w:sz w:val="22"/>
          <w:szCs w:val="22"/>
        </w:rPr>
      </w:pPr>
      <w:r w:rsidRPr="00816B69">
        <w:rPr>
          <w:b/>
          <w:bCs/>
          <w:sz w:val="22"/>
          <w:szCs w:val="22"/>
          <w:u w:val="single"/>
        </w:rPr>
        <w:t>Datum und Ort der geplanten RLT</w:t>
      </w:r>
      <w:r w:rsidRPr="00816B69">
        <w:rPr>
          <w:b/>
          <w:bCs/>
          <w:sz w:val="22"/>
          <w:szCs w:val="22"/>
        </w:rPr>
        <w:t>:</w:t>
      </w:r>
    </w:p>
    <w:p w14:paraId="78F4EC89" w14:textId="77777777" w:rsidR="00957C8B" w:rsidRDefault="00957C8B">
      <w:pPr>
        <w:pStyle w:val="ZZZMacro"/>
        <w:rPr>
          <w:szCs w:val="22"/>
        </w:rPr>
      </w:pPr>
    </w:p>
    <w:p w14:paraId="672346E4" w14:textId="251A9D28" w:rsidR="00957C8B" w:rsidRDefault="00957C8B">
      <w:pPr>
        <w:pStyle w:val="ZZZMacro"/>
        <w:rPr>
          <w:szCs w:val="22"/>
        </w:rPr>
      </w:pPr>
      <w:r>
        <w:t>Werden später bekannt</w:t>
      </w:r>
      <w:r w:rsidR="00C85A11">
        <w:t xml:space="preserve"> </w:t>
      </w:r>
      <w:r>
        <w:t>ge</w:t>
      </w:r>
      <w:r w:rsidR="00C85A11">
        <w:t>ge</w:t>
      </w:r>
      <w:r>
        <w:t>ben.</w:t>
      </w:r>
    </w:p>
    <w:p w14:paraId="5A84A626" w14:textId="77777777" w:rsidR="00676EFA" w:rsidRPr="005E2578" w:rsidRDefault="00676EFA">
      <w:pPr>
        <w:pStyle w:val="ZZZMacro"/>
        <w:rPr>
          <w:b/>
          <w:szCs w:val="22"/>
          <w:u w:val="single"/>
        </w:rPr>
      </w:pPr>
      <w:r w:rsidRPr="00816B69">
        <w:rPr>
          <w:szCs w:val="22"/>
        </w:rPr>
        <w:cr/>
      </w:r>
      <w:r w:rsidRPr="005E2578">
        <w:rPr>
          <w:b/>
          <w:szCs w:val="22"/>
          <w:u w:val="single"/>
        </w:rPr>
        <w:t>Meldeschluss / Spielbeginn:</w:t>
      </w:r>
    </w:p>
    <w:p w14:paraId="0B6B8895" w14:textId="77777777" w:rsidR="00676EFA" w:rsidRDefault="00676EFA">
      <w:pPr>
        <w:tabs>
          <w:tab w:val="left" w:pos="1701"/>
          <w:tab w:val="left" w:pos="3402"/>
        </w:tabs>
        <w:rPr>
          <w:sz w:val="22"/>
          <w:szCs w:val="22"/>
        </w:rPr>
      </w:pPr>
    </w:p>
    <w:p w14:paraId="293EEEAA" w14:textId="2273C901" w:rsidR="00957C8B" w:rsidRDefault="00045A1B" w:rsidP="00957C8B">
      <w:pPr>
        <w:pStyle w:val="ZZZMacro"/>
        <w:rPr>
          <w:szCs w:val="22"/>
        </w:rPr>
      </w:pPr>
      <w:r>
        <w:t>Wird</w:t>
      </w:r>
      <w:r w:rsidR="00957C8B">
        <w:t xml:space="preserve"> später bekannt</w:t>
      </w:r>
      <w:r w:rsidR="00C85A11">
        <w:t xml:space="preserve"> </w:t>
      </w:r>
      <w:r w:rsidR="00957C8B">
        <w:t>ge</w:t>
      </w:r>
      <w:r w:rsidR="00C85A11">
        <w:t>ge</w:t>
      </w:r>
      <w:r w:rsidR="00957C8B">
        <w:t>ben.</w:t>
      </w:r>
    </w:p>
    <w:p w14:paraId="47B942A7" w14:textId="77777777" w:rsidR="00957C8B" w:rsidRPr="00816B69" w:rsidRDefault="00957C8B">
      <w:pPr>
        <w:tabs>
          <w:tab w:val="left" w:pos="1701"/>
          <w:tab w:val="left" w:pos="3402"/>
        </w:tabs>
        <w:rPr>
          <w:sz w:val="22"/>
          <w:szCs w:val="22"/>
        </w:rPr>
      </w:pPr>
    </w:p>
    <w:p w14:paraId="37637C1E" w14:textId="77777777" w:rsidR="00676EFA" w:rsidRPr="00816B69" w:rsidRDefault="00676EFA">
      <w:pPr>
        <w:tabs>
          <w:tab w:val="left" w:pos="1701"/>
          <w:tab w:val="left" w:pos="3402"/>
        </w:tabs>
        <w:rPr>
          <w:b/>
          <w:bCs/>
          <w:sz w:val="22"/>
          <w:szCs w:val="22"/>
        </w:rPr>
      </w:pPr>
      <w:r w:rsidRPr="00816B69">
        <w:rPr>
          <w:b/>
          <w:bCs/>
          <w:sz w:val="22"/>
          <w:szCs w:val="22"/>
          <w:u w:val="single"/>
        </w:rPr>
        <w:t>Teilnahmeberechtigung</w:t>
      </w:r>
      <w:r w:rsidRPr="00816B69">
        <w:rPr>
          <w:b/>
          <w:bCs/>
          <w:sz w:val="22"/>
          <w:szCs w:val="22"/>
        </w:rPr>
        <w:t xml:space="preserve">: </w:t>
      </w:r>
    </w:p>
    <w:p w14:paraId="7E9D6961" w14:textId="1CD48D78" w:rsidR="00676EFA" w:rsidRDefault="00676EFA">
      <w:pPr>
        <w:pStyle w:val="Textkrper2"/>
        <w:rPr>
          <w:sz w:val="22"/>
          <w:szCs w:val="22"/>
        </w:rPr>
      </w:pPr>
      <w:r w:rsidRPr="00816B69">
        <w:rPr>
          <w:sz w:val="22"/>
          <w:szCs w:val="22"/>
        </w:rPr>
        <w:t xml:space="preserve">Spielberechtigt sind alle </w:t>
      </w:r>
      <w:proofErr w:type="spellStart"/>
      <w:r w:rsidRPr="00816B69">
        <w:rPr>
          <w:sz w:val="22"/>
          <w:szCs w:val="22"/>
        </w:rPr>
        <w:t>SpielerInnen</w:t>
      </w:r>
      <w:proofErr w:type="spellEnd"/>
      <w:r w:rsidRPr="00816B69">
        <w:rPr>
          <w:sz w:val="22"/>
          <w:szCs w:val="22"/>
        </w:rPr>
        <w:t xml:space="preserve"> des TTVI mit gültiger STT Lizenz.</w:t>
      </w:r>
      <w:r w:rsidR="00741375">
        <w:rPr>
          <w:sz w:val="22"/>
          <w:szCs w:val="22"/>
        </w:rPr>
        <w:t xml:space="preserve"> </w:t>
      </w:r>
      <w:r w:rsidR="00741375" w:rsidRPr="00741375">
        <w:rPr>
          <w:sz w:val="22"/>
          <w:szCs w:val="22"/>
        </w:rPr>
        <w:t>Mädchen können sich entweder in der Seri</w:t>
      </w:r>
      <w:r w:rsidR="00FA5C0B">
        <w:rPr>
          <w:sz w:val="22"/>
          <w:szCs w:val="22"/>
        </w:rPr>
        <w:t>e Mädchen oder Knaben anmelden.</w:t>
      </w:r>
    </w:p>
    <w:p w14:paraId="77E0B050" w14:textId="77777777" w:rsidR="00676EFA" w:rsidRDefault="00676EFA">
      <w:pPr>
        <w:pStyle w:val="Textkrper2"/>
        <w:rPr>
          <w:sz w:val="22"/>
          <w:szCs w:val="22"/>
        </w:rPr>
      </w:pPr>
    </w:p>
    <w:p w14:paraId="01D8D37E" w14:textId="378A5CDA" w:rsidR="00741375" w:rsidRDefault="00676EFA" w:rsidP="00741375">
      <w:pPr>
        <w:pStyle w:val="Textkrper2"/>
        <w:rPr>
          <w:sz w:val="22"/>
          <w:szCs w:val="22"/>
        </w:rPr>
      </w:pPr>
      <w:r>
        <w:rPr>
          <w:sz w:val="22"/>
          <w:szCs w:val="22"/>
        </w:rPr>
        <w:t>Melden sich für die Kategorie Mädchen weniger wie sechs Teilnehmerinnen, wird keine Mädchenserie ausgetragen und die M</w:t>
      </w:r>
      <w:r w:rsidR="00741375">
        <w:rPr>
          <w:sz w:val="22"/>
          <w:szCs w:val="22"/>
        </w:rPr>
        <w:t xml:space="preserve">ädchen spielen </w:t>
      </w:r>
      <w:r w:rsidR="00741375" w:rsidRPr="00741375">
        <w:rPr>
          <w:sz w:val="22"/>
          <w:szCs w:val="22"/>
        </w:rPr>
        <w:t>automatisch in der Knabenserie</w:t>
      </w:r>
      <w:r w:rsidR="00F25650">
        <w:t>.</w:t>
      </w:r>
    </w:p>
    <w:p w14:paraId="763647EF" w14:textId="77777777" w:rsidR="00676EFA" w:rsidRPr="00816B69" w:rsidRDefault="00676EFA">
      <w:pPr>
        <w:spacing w:before="240"/>
        <w:rPr>
          <w:b/>
          <w:bCs/>
          <w:sz w:val="22"/>
          <w:szCs w:val="22"/>
        </w:rPr>
      </w:pPr>
      <w:r w:rsidRPr="00816B69">
        <w:rPr>
          <w:b/>
          <w:bCs/>
          <w:sz w:val="22"/>
          <w:szCs w:val="22"/>
          <w:u w:val="single"/>
        </w:rPr>
        <w:t>Einsatz</w:t>
      </w:r>
      <w:r w:rsidRPr="00816B69">
        <w:rPr>
          <w:b/>
          <w:bCs/>
          <w:sz w:val="22"/>
          <w:szCs w:val="22"/>
        </w:rPr>
        <w:t xml:space="preserve">: </w:t>
      </w:r>
    </w:p>
    <w:p w14:paraId="1B72A0C0" w14:textId="77777777" w:rsidR="00676EFA" w:rsidRPr="00816B69" w:rsidRDefault="00676EFA" w:rsidP="00676EFA">
      <w:pPr>
        <w:rPr>
          <w:sz w:val="22"/>
          <w:szCs w:val="22"/>
        </w:rPr>
      </w:pPr>
      <w:r w:rsidRPr="00816B69">
        <w:rPr>
          <w:sz w:val="22"/>
          <w:szCs w:val="22"/>
        </w:rPr>
        <w:t>Jeder Spieler hat einen einmaligen Einsatz von Fr. 20.- zu be</w:t>
      </w:r>
      <w:r>
        <w:rPr>
          <w:sz w:val="22"/>
          <w:szCs w:val="22"/>
        </w:rPr>
        <w:t xml:space="preserve">zahlen. Die Einsätze werden dem </w:t>
      </w:r>
      <w:r w:rsidRPr="00816B69">
        <w:rPr>
          <w:sz w:val="22"/>
          <w:szCs w:val="22"/>
        </w:rPr>
        <w:t>Club in Rechnung gestellt.</w:t>
      </w:r>
    </w:p>
    <w:sectPr w:rsidR="00676EFA" w:rsidRPr="00816B69" w:rsidSect="00676E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2101" w:right="1134" w:bottom="851" w:left="1134" w:header="720" w:footer="7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19A76" w14:textId="77777777" w:rsidR="002A0B54" w:rsidRDefault="002A0B54">
      <w:r>
        <w:separator/>
      </w:r>
    </w:p>
  </w:endnote>
  <w:endnote w:type="continuationSeparator" w:id="0">
    <w:p w14:paraId="7698B078" w14:textId="77777777" w:rsidR="002A0B54" w:rsidRDefault="002A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ED105" w14:textId="77777777" w:rsidR="00291B11" w:rsidRDefault="00291B1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FDFB0" w14:textId="77777777" w:rsidR="00676EFA" w:rsidRDefault="00676EFA" w:rsidP="00676EFA">
    <w:pPr>
      <w:tabs>
        <w:tab w:val="right" w:pos="9639"/>
      </w:tabs>
      <w:rPr>
        <w:b/>
        <w:sz w:val="22"/>
        <w:lang w:val="de-CH"/>
      </w:rPr>
    </w:pPr>
  </w:p>
  <w:p w14:paraId="4DE54638" w14:textId="7DF4E1CB" w:rsidR="00676EFA" w:rsidRPr="008359FF" w:rsidRDefault="00676EFA" w:rsidP="00676EFA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1276"/>
        <w:tab w:val="left" w:pos="3120"/>
        <w:tab w:val="right" w:pos="9639"/>
        <w:tab w:val="right" w:pos="15026"/>
      </w:tabs>
    </w:pPr>
    <w:r>
      <w:t>Anmeldung (FO06141) retour an:</w:t>
    </w:r>
    <w:r w:rsidR="00833CCA">
      <w:t xml:space="preserve"> </w:t>
    </w:r>
    <w:hyperlink r:id="rId1" w:history="1">
      <w:r w:rsidR="00833CCA" w:rsidRPr="00A05795">
        <w:rPr>
          <w:rStyle w:val="Hyperlink"/>
        </w:rPr>
        <w:t>rlt.nako@ttvi.ch</w:t>
      </w:r>
    </w:hyperlink>
    <w:r w:rsidR="00833CCA">
      <w:t xml:space="preserve">, </w:t>
    </w:r>
    <w:r>
      <w:tab/>
      <w:t xml:space="preserve">TTVI NAKO RLT, </w:t>
    </w:r>
    <w:r w:rsidR="00D04157">
      <w:t xml:space="preserve">Sandro Ghezzi, </w:t>
    </w:r>
    <w:proofErr w:type="spellStart"/>
    <w:r w:rsidR="008359FF" w:rsidRPr="008359FF">
      <w:t>Rischstrasse</w:t>
    </w:r>
    <w:proofErr w:type="spellEnd"/>
    <w:r w:rsidR="008359FF" w:rsidRPr="008359FF">
      <w:t xml:space="preserve"> 9</w:t>
    </w:r>
    <w:r w:rsidR="00D04157">
      <w:t xml:space="preserve">, 6030 Ebikon, </w:t>
    </w:r>
    <w:r>
      <w:t xml:space="preserve"> </w:t>
    </w:r>
    <w:r>
      <w:tab/>
      <w:t xml:space="preserve">Seite </w:t>
    </w:r>
    <w:r w:rsidRPr="008359FF">
      <w:fldChar w:fldCharType="begin"/>
    </w:r>
    <w:r w:rsidRPr="008359FF">
      <w:instrText xml:space="preserve"> </w:instrText>
    </w:r>
    <w:r w:rsidR="001F55BA" w:rsidRPr="008359FF">
      <w:instrText>PAGE</w:instrText>
    </w:r>
    <w:r w:rsidRPr="008359FF">
      <w:instrText xml:space="preserve"> </w:instrText>
    </w:r>
    <w:r w:rsidRPr="008359FF">
      <w:fldChar w:fldCharType="separate"/>
    </w:r>
    <w:r w:rsidR="00291B11">
      <w:rPr>
        <w:noProof/>
      </w:rPr>
      <w:t>1</w:t>
    </w:r>
    <w:r w:rsidRPr="008359FF">
      <w:fldChar w:fldCharType="end"/>
    </w:r>
    <w:r w:rsidRPr="008359FF">
      <w:t>/</w:t>
    </w:r>
    <w:r w:rsidRPr="008359FF">
      <w:fldChar w:fldCharType="begin"/>
    </w:r>
    <w:r w:rsidRPr="008359FF">
      <w:instrText xml:space="preserve"> </w:instrText>
    </w:r>
    <w:r w:rsidR="001F55BA" w:rsidRPr="008359FF">
      <w:instrText>NUMPAGES</w:instrText>
    </w:r>
    <w:r w:rsidRPr="008359FF">
      <w:instrText xml:space="preserve"> </w:instrText>
    </w:r>
    <w:r w:rsidRPr="008359FF">
      <w:fldChar w:fldCharType="separate"/>
    </w:r>
    <w:r w:rsidR="00291B11">
      <w:rPr>
        <w:noProof/>
      </w:rPr>
      <w:t>1</w:t>
    </w:r>
    <w:r w:rsidRPr="008359FF">
      <w:fldChar w:fldCharType="end"/>
    </w:r>
  </w:p>
  <w:p w14:paraId="6FC39FAB" w14:textId="18715C10" w:rsidR="00676EFA" w:rsidRDefault="00676EFA" w:rsidP="00676EFA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1276"/>
        <w:tab w:val="left" w:pos="3120"/>
        <w:tab w:val="right" w:pos="10318"/>
        <w:tab w:val="right" w:pos="15026"/>
      </w:tabs>
    </w:pPr>
    <w:r>
      <w:t>Anmeldung (FO06141) retour bis:</w:t>
    </w:r>
    <w:r>
      <w:tab/>
      <w:t>30.06.</w:t>
    </w:r>
    <w:r w:rsidR="00291B11">
      <w:t>2019</w:t>
    </w:r>
    <w:bookmarkStart w:id="0" w:name="_GoBack"/>
    <w:bookmarkEnd w:id="0"/>
  </w:p>
  <w:p w14:paraId="3ED14E58" w14:textId="77777777" w:rsidR="00676EFA" w:rsidRDefault="00676EFA" w:rsidP="00676EFA">
    <w:pPr>
      <w:rPr>
        <w:lang w:val="de-C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962AB" w14:textId="77777777" w:rsidR="00291B11" w:rsidRDefault="00291B1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F47A8" w14:textId="77777777" w:rsidR="002A0B54" w:rsidRDefault="002A0B54">
      <w:r>
        <w:separator/>
      </w:r>
    </w:p>
  </w:footnote>
  <w:footnote w:type="continuationSeparator" w:id="0">
    <w:p w14:paraId="64998F89" w14:textId="77777777" w:rsidR="002A0B54" w:rsidRDefault="002A0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C5DEF" w14:textId="77777777" w:rsidR="00291B11" w:rsidRDefault="00291B1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DD37C" w14:textId="77777777" w:rsidR="00676EFA" w:rsidRDefault="00676EFA">
    <w:pPr>
      <w:tabs>
        <w:tab w:val="right" w:pos="9639"/>
      </w:tabs>
      <w:rPr>
        <w:b/>
        <w:bCs/>
      </w:rPr>
    </w:pPr>
    <w:r>
      <w:tab/>
    </w:r>
    <w:r w:rsidR="00FA2A49">
      <w:rPr>
        <w:b/>
        <w:bCs/>
        <w:noProof/>
        <w:lang w:val="de-CH" w:eastAsia="de-CH"/>
      </w:rPr>
      <w:drawing>
        <wp:anchor distT="0" distB="0" distL="114300" distR="114300" simplePos="0" relativeHeight="251657728" behindDoc="0" locked="1" layoutInCell="1" allowOverlap="1" wp14:anchorId="3A14B57D" wp14:editId="47834B16">
          <wp:simplePos x="0" y="0"/>
          <wp:positionH relativeFrom="column">
            <wp:posOffset>17145</wp:posOffset>
          </wp:positionH>
          <wp:positionV relativeFrom="paragraph">
            <wp:posOffset>2540</wp:posOffset>
          </wp:positionV>
          <wp:extent cx="2371725" cy="838200"/>
          <wp:effectExtent l="19050" t="0" r="9525" b="0"/>
          <wp:wrapSquare wrapText="bothSides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F1074">
      <w:rPr>
        <w:b/>
        <w:sz w:val="28"/>
      </w:rPr>
      <w:t xml:space="preserve"> </w:t>
    </w:r>
    <w:r>
      <w:rPr>
        <w:b/>
        <w:sz w:val="28"/>
      </w:rPr>
      <w:t>FO06143</w:t>
    </w:r>
  </w:p>
  <w:p w14:paraId="6056EC00" w14:textId="77777777" w:rsidR="00676EFA" w:rsidRDefault="00676EFA">
    <w:pPr>
      <w:tabs>
        <w:tab w:val="right" w:pos="9639"/>
      </w:tabs>
      <w:rPr>
        <w:b/>
        <w:bCs/>
      </w:rPr>
    </w:pPr>
    <w:r>
      <w:rPr>
        <w:b/>
        <w:bCs/>
      </w:rPr>
      <w:tab/>
    </w:r>
    <w:r w:rsidRPr="007F1074">
      <w:rPr>
        <w:b/>
        <w:sz w:val="28"/>
      </w:rPr>
      <w:t xml:space="preserve"> </w:t>
    </w:r>
  </w:p>
  <w:p w14:paraId="01A89F6F" w14:textId="77777777" w:rsidR="00676EFA" w:rsidRDefault="00676EFA">
    <w:pPr>
      <w:pStyle w:val="Kopfzeile"/>
      <w:tabs>
        <w:tab w:val="clear" w:pos="4536"/>
        <w:tab w:val="center" w:pos="6521"/>
      </w:tabs>
      <w:rPr>
        <w:rFonts w:cs="Arial"/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EABC9" w14:textId="77777777" w:rsidR="00291B11" w:rsidRDefault="00291B1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7845B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662"/>
    <w:rsid w:val="00040F2B"/>
    <w:rsid w:val="00045A1B"/>
    <w:rsid w:val="000624DE"/>
    <w:rsid w:val="001F55BA"/>
    <w:rsid w:val="00291B11"/>
    <w:rsid w:val="002A0B54"/>
    <w:rsid w:val="004A76C3"/>
    <w:rsid w:val="00676EFA"/>
    <w:rsid w:val="007235A5"/>
    <w:rsid w:val="00741375"/>
    <w:rsid w:val="00833CCA"/>
    <w:rsid w:val="008359FF"/>
    <w:rsid w:val="008544E3"/>
    <w:rsid w:val="00957C8B"/>
    <w:rsid w:val="00A3716E"/>
    <w:rsid w:val="00AE54FE"/>
    <w:rsid w:val="00B501B1"/>
    <w:rsid w:val="00C30662"/>
    <w:rsid w:val="00C85A11"/>
    <w:rsid w:val="00D04157"/>
    <w:rsid w:val="00E26B33"/>
    <w:rsid w:val="00F25650"/>
    <w:rsid w:val="00F41D5E"/>
    <w:rsid w:val="00FA2A49"/>
    <w:rsid w:val="00FA5C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D64E3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Standard">
    <w:name w:val="Normal"/>
    <w:qFormat/>
    <w:rPr>
      <w:rFonts w:ascii="Arial" w:hAnsi="Arial"/>
      <w:lang w:val="de-DE"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berschrift1"/>
    <w:next w:val="berschrift1"/>
    <w:qFormat/>
    <w:pPr>
      <w:keepLines/>
      <w:tabs>
        <w:tab w:val="left" w:pos="426"/>
      </w:tabs>
      <w:spacing w:before="360" w:after="48"/>
    </w:pPr>
    <w:rPr>
      <w:rFonts w:ascii="Times New Roman" w:hAnsi="Times New Roman"/>
      <w:kern w:val="0"/>
      <w:sz w:val="36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pPr>
      <w:spacing w:before="480" w:after="120"/>
    </w:pPr>
    <w:rPr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ZZMacro">
    <w:name w:val="ZZZMacro"/>
    <w:basedOn w:val="Standard"/>
    <w:pPr>
      <w:spacing w:before="120"/>
    </w:pPr>
    <w:rPr>
      <w:sz w:val="22"/>
    </w:rPr>
  </w:style>
  <w:style w:type="paragraph" w:styleId="Textkrper-Zeileneinzug">
    <w:name w:val="Body Text Indent"/>
    <w:basedOn w:val="Standard"/>
    <w:pPr>
      <w:tabs>
        <w:tab w:val="left" w:pos="1701"/>
        <w:tab w:val="left" w:pos="3402"/>
      </w:tabs>
      <w:ind w:left="284"/>
    </w:pPr>
    <w:rPr>
      <w:sz w:val="22"/>
    </w:rPr>
  </w:style>
  <w:style w:type="paragraph" w:styleId="Textkrper2">
    <w:name w:val="Body Text 2"/>
    <w:basedOn w:val="Standard"/>
    <w:pPr>
      <w:jc w:val="both"/>
    </w:pPr>
  </w:style>
  <w:style w:type="character" w:styleId="Seitenzahl">
    <w:name w:val="page number"/>
    <w:basedOn w:val="Absatz-Standardschriftart"/>
    <w:rsid w:val="00BC1DA2"/>
  </w:style>
  <w:style w:type="paragraph" w:styleId="Sprechblasentext">
    <w:name w:val="Balloon Text"/>
    <w:basedOn w:val="Standard"/>
    <w:semiHidden/>
    <w:rsid w:val="002314D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833C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Standard">
    <w:name w:val="Normal"/>
    <w:qFormat/>
    <w:rPr>
      <w:rFonts w:ascii="Arial" w:hAnsi="Arial"/>
      <w:lang w:val="de-DE"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berschrift1"/>
    <w:next w:val="berschrift1"/>
    <w:qFormat/>
    <w:pPr>
      <w:keepLines/>
      <w:tabs>
        <w:tab w:val="left" w:pos="426"/>
      </w:tabs>
      <w:spacing w:before="360" w:after="48"/>
    </w:pPr>
    <w:rPr>
      <w:rFonts w:ascii="Times New Roman" w:hAnsi="Times New Roman"/>
      <w:kern w:val="0"/>
      <w:sz w:val="36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pPr>
      <w:spacing w:before="480" w:after="120"/>
    </w:pPr>
    <w:rPr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ZZMacro">
    <w:name w:val="ZZZMacro"/>
    <w:basedOn w:val="Standard"/>
    <w:pPr>
      <w:spacing w:before="120"/>
    </w:pPr>
    <w:rPr>
      <w:sz w:val="22"/>
    </w:rPr>
  </w:style>
  <w:style w:type="paragraph" w:styleId="Textkrper-Zeileneinzug">
    <w:name w:val="Body Text Indent"/>
    <w:basedOn w:val="Standard"/>
    <w:pPr>
      <w:tabs>
        <w:tab w:val="left" w:pos="1701"/>
        <w:tab w:val="left" w:pos="3402"/>
      </w:tabs>
      <w:ind w:left="284"/>
    </w:pPr>
    <w:rPr>
      <w:sz w:val="22"/>
    </w:rPr>
  </w:style>
  <w:style w:type="paragraph" w:styleId="Textkrper2">
    <w:name w:val="Body Text 2"/>
    <w:basedOn w:val="Standard"/>
    <w:pPr>
      <w:jc w:val="both"/>
    </w:pPr>
  </w:style>
  <w:style w:type="character" w:styleId="Seitenzahl">
    <w:name w:val="page number"/>
    <w:basedOn w:val="Absatz-Standardschriftart"/>
    <w:rsid w:val="00BC1DA2"/>
  </w:style>
  <w:style w:type="paragraph" w:styleId="Sprechblasentext">
    <w:name w:val="Balloon Text"/>
    <w:basedOn w:val="Standard"/>
    <w:semiHidden/>
    <w:rsid w:val="002314D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833C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lt.nako@ttvi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TTVI Nachwuchs-Ranglistenturnier</vt:lpstr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TTVI Nachwuchs-Ranglistenturnier</dc:title>
  <dc:subject>Ausschreibung</dc:subject>
  <dc:creator>TTVI NAKO</dc:creator>
  <cp:lastModifiedBy>Sandro</cp:lastModifiedBy>
  <cp:revision>7</cp:revision>
  <cp:lastPrinted>2012-04-30T19:27:00Z</cp:lastPrinted>
  <dcterms:created xsi:type="dcterms:W3CDTF">2016-05-01T12:48:00Z</dcterms:created>
  <dcterms:modified xsi:type="dcterms:W3CDTF">2019-02-21T18:25:00Z</dcterms:modified>
</cp:coreProperties>
</file>